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Freedom of Information Act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Request for Information Itemization of Fees Standard Form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Onsted Community Schools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r Name:  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Date of Request:  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Summary of Request:  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Pursuant to the requirements of Michigan’s Freedom of Information Act, the following fees will be assessed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Onsted Community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for the provision of the requested public record(s).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This is an estimate of the fees to be charged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Onsted Community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to provide the requested information.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This is an itemized list of the actual charges for production of the requested public records.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Labor Costs for Searching, Locating, and Examining Public Records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Labor costs for searching, locating, and examining the requested public records will be charged as follows: </w:t>
      </w:r>
    </w:p>
    <w:tbl>
      <w:tblPr>
        <w:tblStyle w:val="Table1"/>
        <w:bidi w:val="0"/>
        <w:tblW w:w="9349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0"/>
        <w:gridCol w:w="1168"/>
        <w:gridCol w:w="1169"/>
        <w:gridCol w:w="1175"/>
        <w:gridCol w:w="1168"/>
        <w:tblGridChange w:id="0">
          <w:tblGrid>
            <w:gridCol w:w="4670"/>
            <w:gridCol w:w="1168"/>
            <w:gridCol w:w="1169"/>
            <w:gridCol w:w="1175"/>
            <w:gridCol w:w="1168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Staff Person Name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Time¹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Rate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Benefit Multiplier²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Total Cost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Time is to be calculated in 15 minute increments, with all partial increments rounded down.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² The multiplier percentage shall not exceed 50%.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Labor Costs for Separating and Deleting Exempt Information from Nonexempt Information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Labor costs for separating and deleting exempt information from nonexempt information will be charged as follows: </w:t>
      </w:r>
    </w:p>
    <w:tbl>
      <w:tblPr>
        <w:tblStyle w:val="Table2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1"/>
        <w:gridCol w:w="1167"/>
        <w:gridCol w:w="1169"/>
        <w:gridCol w:w="1175"/>
        <w:gridCol w:w="1168"/>
        <w:tblGridChange w:id="0">
          <w:tblGrid>
            <w:gridCol w:w="4671"/>
            <w:gridCol w:w="1167"/>
            <w:gridCol w:w="1169"/>
            <w:gridCol w:w="1175"/>
            <w:gridCol w:w="1168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Staff Person/Contracted Firm Name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Time¹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Rate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Benefit Multiplier²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Total Cost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Time is to be calculated in 15 minute increments, with all partial increments rounded down.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² The multiplier percentage shall not exceed 50%.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Electronic Record Provision Costs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Electronic record provision costs will be charged as follows:</w:t>
      </w:r>
    </w:p>
    <w:tbl>
      <w:tblPr>
        <w:tblStyle w:val="Table3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Type of Electronic Media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Total Cost of Media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Paper Copy Costs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Paper copy costs will be charged as follows:</w:t>
      </w:r>
    </w:p>
    <w:tbl>
      <w:tblPr>
        <w:tblStyle w:val="Table4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Number of Pages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Cost per Page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Total Cost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$.10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Labor Costs for Duplication or Publication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Labor costs for duplication or publication, including making paper copies, making digital copies, or transferring digital public records to electronic media will be charged as follows:</w:t>
      </w:r>
    </w:p>
    <w:tbl>
      <w:tblPr>
        <w:tblStyle w:val="Table5"/>
        <w:bidi w:val="0"/>
        <w:tblW w:w="9349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0"/>
        <w:gridCol w:w="1168"/>
        <w:gridCol w:w="1169"/>
        <w:gridCol w:w="1175"/>
        <w:gridCol w:w="1168"/>
        <w:tblGridChange w:id="0">
          <w:tblGrid>
            <w:gridCol w:w="4670"/>
            <w:gridCol w:w="1168"/>
            <w:gridCol w:w="1169"/>
            <w:gridCol w:w="1175"/>
            <w:gridCol w:w="1168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Staff Person Name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Time¹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Rate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Hourly Benefit Multiplier²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Total Cost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Time is to be calculated in 15 minute increments, with all partial increments rounded down.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² The multiplier percentage shall not exceed 50%.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Mailing Costs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Mailing costs will be charged as follows: </w:t>
      </w:r>
    </w:p>
    <w:tbl>
      <w:tblPr>
        <w:tblStyle w:val="Table6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Mailing Service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Weight</w:t>
            </w:r>
          </w:p>
        </w:tc>
        <w:tc>
          <w:tcPr>
            <w:shd w:fill="bfbfb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Cost of Mailing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Good-faith Deposit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Onsted Community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requires a good-faith deposit of $________.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Response Time Estimate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Onsted Community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estimates that it will take _________ days to provide the nonexempt public records.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Cost Reduction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Pursuant to Michigan’s Freedom of Information Act, a cost reduction of $_______ will be applied. The cost reduction resulted from the following: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Calibri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ibri-regular.ttf"/><Relationship Id="rId2" Type="http://schemas.openxmlformats.org/officeDocument/2006/relationships/font" Target="fonts/Calibri-bold.ttf"/><Relationship Id="rId3" Type="http://schemas.openxmlformats.org/officeDocument/2006/relationships/font" Target="fonts/Calibri-italic.ttf"/><Relationship Id="rId4" Type="http://schemas.openxmlformats.org/officeDocument/2006/relationships/font" Target="fonts/Calibri-boldItalic.ttf"/></Relationships>
</file>